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0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shd w:val="clear" w:color="auto" w:fill="ffff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Сводный отчет о проведении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оценки регулирующего воздействия проекта нормативного правового акта Республики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Хакасия, затрагивающего вопросы осуществления предпринимательской и иной экономической деятельности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tbl>
      <w:tblPr>
        <w:tblW w:w="98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129"/>
        <w:gridCol w:w="6"/>
        <w:gridCol w:w="10"/>
        <w:gridCol w:w="1715"/>
        <w:gridCol w:w="546"/>
        <w:gridCol w:w="158"/>
        <w:gridCol w:w="53"/>
        <w:gridCol w:w="69"/>
        <w:gridCol w:w="22"/>
        <w:gridCol w:w="374"/>
        <w:gridCol w:w="1178"/>
        <w:gridCol w:w="12"/>
        <w:gridCol w:w="18"/>
        <w:gridCol w:w="75"/>
        <w:gridCol w:w="46"/>
        <w:gridCol w:w="182"/>
        <w:gridCol w:w="98"/>
        <w:gridCol w:w="938"/>
        <w:gridCol w:w="30"/>
        <w:gridCol w:w="247"/>
        <w:gridCol w:w="175"/>
        <w:gridCol w:w="94"/>
        <w:gridCol w:w="51"/>
        <w:gridCol w:w="166"/>
        <w:gridCol w:w="560"/>
        <w:gridCol w:w="998"/>
        <w:gridCol w:w="1287"/>
      </w:tblGrid>
      <w:tr>
        <w:tblPrEx/>
        <w:trPr>
          <w:trHeight w:val="33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Министерство экономического развития Республики Хакасия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6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Общая информация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70"/>
        </w:trPr>
        <w:tc>
          <w:tcPr>
            <w:shd w:val="clear" w:color="auto" w:fill="auto"/>
            <w:tcBorders>
              <w:top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1.1.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Вид и наименование проекта нормативного акта: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trike w:val="0"/>
                <w:sz w:val="24"/>
                <w:szCs w:val="24"/>
                <w:u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Постановление Правительства Республики Хакасия</w:t>
            </w:r>
            <w:r>
              <w:rPr>
                <w:rFonts w:ascii="PT Astra Serif" w:hAnsi="PT Astra Serif" w:eastAsia="PT Astra Serif" w:cs="PT Astra Serif"/>
                <w:strike w:val="0"/>
                <w:sz w:val="24"/>
                <w:szCs w:val="24"/>
                <w:u w:val="non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trike w:val="0"/>
                <w:sz w:val="24"/>
                <w:szCs w:val="24"/>
                <w:u w:val="non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trike w:val="0"/>
                <w:color w:val="000000" w:themeColor="text1"/>
                <w:sz w:val="24"/>
                <w:szCs w:val="24"/>
                <w:u w:val="none"/>
              </w:rPr>
              <w:t xml:space="preserve">О внесении изменений в постановление Правительства Республики Хакасия </w:t>
            </w:r>
            <w:r>
              <w:rPr>
                <w:rFonts w:ascii="PT Astra Serif" w:hAnsi="PT Astra Serif" w:eastAsia="PT Astra Serif" w:cs="PT Astra Serif"/>
                <w:strike w:val="0"/>
                <w:color w:val="000000" w:themeColor="text1"/>
                <w:sz w:val="24"/>
                <w:szCs w:val="24"/>
                <w:u w:val="none"/>
              </w:rPr>
              <w:t xml:space="preserve">от 09.07.2019 № 345 «О мерах по реализации Закона Республики Хакасия от 14.07.2017 </w:t>
            </w:r>
            <w:r>
              <w:rPr>
                <w:rFonts w:ascii="PT Astra Serif" w:hAnsi="PT Astra Serif" w:eastAsia="PT Astra Serif" w:cs="PT Astra Serif"/>
                <w:strike w:val="0"/>
                <w:color w:val="000000" w:themeColor="text1"/>
                <w:sz w:val="24"/>
                <w:szCs w:val="24"/>
                <w:u w:val="none"/>
              </w:rPr>
              <w:t xml:space="preserve">№ 56-ЗРХ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      </w:r>
            <w:r>
              <w:rPr>
                <w:rFonts w:ascii="PT Astra Serif" w:hAnsi="PT Astra Serif" w:cs="PT Astra Serif"/>
                <w:strike w:val="0"/>
                <w:sz w:val="24"/>
                <w:szCs w:val="24"/>
                <w:u w:val="none"/>
              </w:rPr>
            </w:r>
            <w:r>
              <w:rPr>
                <w:rFonts w:ascii="PT Astra Serif" w:hAnsi="PT Astra Serif" w:cs="PT Astra Serif"/>
                <w:strike w:val="0"/>
                <w:sz w:val="24"/>
                <w:szCs w:val="24"/>
                <w:u w:val="none"/>
              </w:rPr>
            </w:r>
          </w:p>
        </w:tc>
      </w:tr>
      <w:tr>
        <w:tblPrEx/>
        <w:trPr>
          <w:trHeight w:val="701"/>
        </w:trPr>
        <w:tc>
          <w:tcPr>
            <w:shd w:val="clear" w:color="auto" w:fill="auto"/>
            <w:tcW w:w="65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1.2.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9"/>
            <w:shd w:val="clear" w:color="auto" w:fill="auto"/>
            <w:tcBorders>
              <w:bottom w:val="single" w:color="auto" w:sz="4" w:space="0"/>
              <w:right w:val="single" w:color="auto" w:sz="4" w:space="0"/>
            </w:tcBorders>
            <w:tcW w:w="56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Номер регистрационной карточки проекта документа (РКПД), автоматически присвоенный в системе автоматизации делопроизводства и документооборота «Дело» (при наличии):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left w:val="single" w:color="auto" w:sz="4" w:space="0"/>
              <w:bottom w:val="single" w:color="auto" w:sz="4" w:space="0"/>
            </w:tcBorders>
            <w:tcW w:w="35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РКПД № 356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1904"/>
        </w:trPr>
        <w:tc>
          <w:tcPr>
            <w:shd w:val="clear" w:color="auto" w:fill="auto"/>
            <w:tcW w:w="65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9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6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Дата согласования без замечаний проекта нормативного правового акта в соответствии с пунктом 3.2 Порядка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оценки регулирующего воздействия проектов нормативных правовых актов Республики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Хакасия, затрагивающих вопросы осуществления предпринимательской и иной экономической деятельности, утвержденного постановлением Правительства Республики Хакасия от 02.12.2013 № 671: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35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14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.10.2026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17"/>
        </w:trPr>
        <w:tc>
          <w:tcPr>
            <w:shd w:val="clear" w:color="auto" w:fill="auto"/>
            <w:tcW w:w="656" w:type="dxa"/>
            <w:vMerge w:val="continue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9"/>
            <w:shd w:val="clear" w:color="auto" w:fill="auto"/>
            <w:tcBorders>
              <w:top w:val="single" w:color="auto" w:sz="4" w:space="0"/>
              <w:right w:val="single" w:color="auto" w:sz="4" w:space="0"/>
            </w:tcBorders>
            <w:tcW w:w="56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Сведения о проведении публичных консультаций по уведомлению о разработке проекта нормативного акта: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</w:tcBorders>
            <w:tcW w:w="35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проводились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/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u w:val="single"/>
              </w:rPr>
              <w:t xml:space="preserve">не проводились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(нужное подчеркнуть)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1.3.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Сведения о размещении уведомления о проведении публичных консультаций по п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роекту нормативного акта и сводному отчету, в том числе повторно, сроках предоставления предложений в связи с таким размещением и иных формах общественных обсуждений: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уведомление размещено: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27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.10.2026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начало публичных консультаций: 28.10.2026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окончание публичных консультаций: 11.11.2026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550"/>
        </w:trPr>
        <w:tc>
          <w:tcPr>
            <w:shd w:val="clear" w:color="auto" w:fill="auto"/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1.4.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Сведения о лицах, извещённых о проведении публичных консультаций (с указанием способа и даты направления Извещения, при электронной форме направления Извещения также указываются электронные адреса, на которые оно направлено):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Извещения направлены в электронной фо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рме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27.10.2026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 след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ующим лицам: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Уполномоченный по защите прав предпринимателей в Республике Хакасия,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эл. почта </w:t>
            </w:r>
            <w:hyperlink r:id="rId11" w:tooltip="mailto:khakasia@ombudsmanbiz.ru" w:history="1">
              <w:r>
                <w:rPr>
                  <w:rStyle w:val="967"/>
                  <w:rFonts w:ascii="PT Astra Serif" w:hAnsi="PT Astra Serif" w:eastAsia="PT Astra Serif" w:cs="PT Astra Serif"/>
                  <w:sz w:val="24"/>
                  <w:szCs w:val="24"/>
                </w:rPr>
                <w:t xml:space="preserve">khakasia@ombudsmanbiz.ru</w:t>
              </w:r>
            </w:hyperlink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Союз «Торгово-промышленная палата Республики Хакасия,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эл. почта </w:t>
            </w:r>
            <w:hyperlink r:id="rId12" w:tooltip="mailto:tpp19@torgpalata.ru" w:history="1">
              <w:r>
                <w:rPr>
                  <w:rStyle w:val="967"/>
                  <w:rFonts w:ascii="PT Astra Serif" w:hAnsi="PT Astra Serif" w:eastAsia="PT Astra Serif" w:cs="PT Astra Serif"/>
                  <w:sz w:val="24"/>
                  <w:szCs w:val="24"/>
                </w:rPr>
                <w:t xml:space="preserve">tpp19@torgpalata.ru</w:t>
              </w:r>
            </w:hyperlink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Хакасское региональное отделение Общероссийской общественной организации «Деловая Россия», эл. почта </w:t>
            </w:r>
            <w:hyperlink r:id="rId13" w:tooltip="mailto:exptr9@inbox.ru" w:history="1">
              <w:r>
                <w:rPr>
                  <w:rStyle w:val="967"/>
                  <w:rFonts w:ascii="PT Astra Serif" w:hAnsi="PT Astra Serif" w:eastAsia="PT Astra Serif" w:cs="PT Astra Serif"/>
                  <w:sz w:val="24"/>
                  <w:szCs w:val="24"/>
                </w:rPr>
                <w:t xml:space="preserve">exptr9@inbox.ru</w:t>
              </w:r>
            </w:hyperlink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Общественная палата Республики Хакасия, эл. почта </w:t>
            </w:r>
            <w:hyperlink r:id="rId14" w:tooltip="mailto:info@oprh.ru" w:history="1">
              <w:r>
                <w:rPr>
                  <w:rStyle w:val="967"/>
                  <w:rFonts w:ascii="PT Astra Serif" w:hAnsi="PT Astra Serif" w:eastAsia="PT Astra Serif" w:cs="PT Astra Serif"/>
                  <w:sz w:val="24"/>
                  <w:szCs w:val="24"/>
                </w:rPr>
                <w:t xml:space="preserve">info@oprh.ru</w:t>
              </w:r>
            </w:hyperlink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Style w:val="967"/>
                <w:rFonts w:ascii="PT Astra Serif" w:hAnsi="PT Astra Serif" w:cs="PT Astra Serif"/>
                <w:color w:val="auto"/>
                <w:sz w:val="24"/>
                <w:szCs w:val="24"/>
                <w:u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Общественная региональная организация «Союз предпринимателей малого и среднего бизнеса Республики Хакасия», эл. почта </w:t>
            </w:r>
            <w:hyperlink r:id="rId15" w:tooltip="mailto:pmkmangula@yandex.ru" w:history="1">
              <w:r>
                <w:rPr>
                  <w:rStyle w:val="967"/>
                  <w:rFonts w:ascii="PT Astra Serif" w:hAnsi="PT Astra Serif" w:eastAsia="PT Astra Serif" w:cs="PT Astra Serif"/>
                  <w:sz w:val="24"/>
                  <w:szCs w:val="24"/>
                </w:rPr>
                <w:t xml:space="preserve">pmkmangula@yandex.ru</w:t>
              </w:r>
            </w:hyperlink>
            <w:r>
              <w:rPr>
                <w:rStyle w:val="967"/>
                <w:rFonts w:ascii="PT Astra Serif" w:hAnsi="PT Astra Serif" w:eastAsia="PT Astra Serif" w:cs="PT Astra Serif"/>
                <w:color w:val="auto"/>
                <w:sz w:val="24"/>
                <w:szCs w:val="24"/>
                <w:u w:val="none"/>
              </w:rPr>
              <w:t xml:space="preserve">;</w:t>
            </w:r>
            <w:r>
              <w:rPr>
                <w:rStyle w:val="967"/>
                <w:rFonts w:ascii="PT Astra Serif" w:hAnsi="PT Astra Serif" w:cs="PT Astra Serif"/>
                <w:color w:val="auto"/>
                <w:sz w:val="24"/>
                <w:szCs w:val="24"/>
                <w:u w:val="none"/>
              </w:rPr>
            </w:r>
            <w:r>
              <w:rPr>
                <w:rStyle w:val="967"/>
                <w:rFonts w:ascii="PT Astra Serif" w:hAnsi="PT Astra Serif" w:cs="PT Astra Serif"/>
                <w:color w:val="auto"/>
                <w:sz w:val="24"/>
                <w:szCs w:val="24"/>
                <w:u w:val="none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Общество с ограниченной ответственностью «Проект «Долина Бабик», эл. почта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hyperlink r:id="rId16" w:tooltip="mailto:o.kuzmina@ski-gladenkaya.ru" w:history="1">
              <w:r>
                <w:rPr>
                  <w:rStyle w:val="967"/>
                  <w:rFonts w:ascii="PT Astra Serif" w:hAnsi="PT Astra Serif" w:eastAsia="PT Astra Serif" w:cs="PT Astra Serif"/>
                  <w:sz w:val="24"/>
                  <w:szCs w:val="24"/>
                </w:rPr>
                <w:t xml:space="preserve">o.kuzmina@ski-gladenkaya.ru</w:t>
              </w:r>
            </w:hyperlink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«Саянмолоко», эл. почта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hyperlink r:id="rId17" w:tooltip="http://info@sayanmoloko.ru" w:history="1">
              <w:r>
                <w:rPr>
                  <w:rStyle w:val="967"/>
                </w:rPr>
                <w:t xml:space="preserve">info@sayanmoloko.ru</w:t>
              </w:r>
              <w:r>
                <w:rPr>
                  <w:rStyle w:val="967"/>
                </w:rPr>
              </w:r>
            </w:hyperlink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</w:t>
            </w:r>
            <w:hyperlink r:id="rId18" w:tooltip="mailto:o.kuzmina@ski-gladenkaya.ru" w:history="1">
              <w:r>
                <w:rPr>
                  <w:rStyle w:val="967"/>
                </w:rPr>
                <w:t xml:space="preserve">o.kuzmina@ski-gladenkaya.ru</w:t>
              </w:r>
              <w:r>
                <w:rPr>
                  <w:rStyle w:val="967"/>
                </w:rPr>
              </w:r>
            </w:hyperlink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bottom w:val="singl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1.5.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bottom w:val="single" w:color="000000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Сведения о лицах, представивших предложения: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предложения не поступали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bottom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1.6.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bottom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Контактная информация исполнителя в регулирующем органе, и иные сведения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 структурных подразделениях регулирующего органа рассмотревших предложения: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Ф.И.О.: Королёва Анна Олеговна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Должность: ведущий советник отдела инвестиционного развития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Телефон: 248-200, доб. 252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Адрес электронной почты: </w:t>
            </w:r>
            <w:hyperlink r:id="rId19" w:tooltip="mailto:me14@r19.ru" w:history="1">
              <w:r>
                <w:rPr>
                  <w:rStyle w:val="967"/>
                  <w:rFonts w:ascii="PT Astra Serif" w:hAnsi="PT Astra Serif" w:eastAsia="PT Astra Serif" w:cs="PT Astra Serif"/>
                  <w:sz w:val="24"/>
                  <w:szCs w:val="24"/>
                </w:rPr>
                <w:t xml:space="preserve">me71@r19.ru</w:t>
              </w:r>
            </w:hyperlink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Степень регулирующего воздействия проекта нормативного акта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2.1.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2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61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Степень регулирующего воздействия проекта нормативного акта: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306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высокая/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u w:val="single"/>
              </w:rPr>
              <w:t xml:space="preserve">средняя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/низкая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(нужное подчеркнуть)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2.2.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Обоснование отнесения проекта нормативного акта к определенной степени регулирующего воздействия: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проект нормативного акта с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одержит положения, изменяющие ранее предусмотренные нормативными правовыми актами Республики Хакасия обязанности и запреты для субъектов предпринимательской и инвестиционной деятельности, в связи, с чем относится к средней степени регулирующего воздействия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ab/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Описание проблемы, на решение которой направлен предлагаемый способ регулирования, условий и факторов её существования, оценка негативных эффектов, возникающих в связи с наличием рассматриваемой проблемы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7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24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3.1. Описание проблемы, на решение которой направлен предлагаемый способ регулирования, условий и факторов её существования: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6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3.2. Оценка негативных эффектов, возникающих в связи с наличием рассматриваемой проблемы: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7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24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Необходимость предоставления особых условий для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юридических лиц, имеющих статус ответственного субъекта предпринимательской деятельности в Республике Хакасия.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Не предусмотрены случаи, в которых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распоряжение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Главы Республики Хакасия - Председателя Правительства Республики Хакасия о праве юридического лица на заключение договора аренды земельного участка для размещения объекта социально-культурного или коммунально-бытового назначения, реализации масштабного инв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естиционного проекта без проведения торгов подлежит утратившим силу.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Неурегулирован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порядок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заключения, изменения и расторжения соглашения о сотрудничестве в ходе реализации инвестиционного проекта между Министерством экономического развития Республики Хакасия и инициатором проекта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Требуется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актуализация значений количественных показателей критериев масштабных инвестиционных проектов, для реализации которых предоставляются земельные участки в аренду без проведения торгов (производится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раз в три года на основе статистических данных, в соответствии с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постановлением Правительства Республики Хакасия № 345 «О мерах по реализации Закона Республики Хакасия от 14.07.2017 № 56-ЗРХ «О критериях, которым должны соответствовать объекты социально-культурного и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коммунально-бытового назначения, масштабные инвестиционные проекты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, для размещения (реализации) которых земельные участки предоставляются в аренду без проведения торгов»)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6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eastAsia="en-US"/>
              </w:rPr>
              <w:t xml:space="preserve">Предоставление преференций для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юридических лиц, имеющих статус ответственного субъекта предпринимательской деятельности в Республике Хакасия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в части сокращения сроков по рассмотрению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обращений для получения земельных участков без торгов для реализации инвестиционных проектов для стимулирования получения такого статуса. Отсутствие таких лиц (либо незначительное их число) негативно сказывается на социально-экономическом развитии региона.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  <w:t xml:space="preserve">Бессрочное право юридического лица на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заключение договора аренды земельного участка для размещения объекта социально-культурного или коммунально-бытового назначения, реализации масштабного инв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естиционного проекта без проведения торгов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может повлечь за собой спорные ситуации в случае заинтересованности земельным участком, неиспользуемому по целевому назначению, другими лицами.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eastAsia="en-US"/>
              </w:rPr>
              <w:t xml:space="preserve">Отсутствие порядка заключения, и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зменения и расторжения соглашения о сотрудничестве в ходе реализации инвестиционного проекта между Министерством экономического развития Республики Хакасия и инициатором проекта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влечет за собой риски по правоотношениям, возникающим в рамках постановления Правительства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Республики Хакасия от 09.07.2019 № 345. «О мерах по реа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лизации Закона Республики Хакасия от 14.07.2017 № 56-ЗРХ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предоставляются в аренду без проведения торгов»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 (далее – постановление Правительства Республики Хакасия </w:t>
              <w:br/>
              <w:t xml:space="preserve">№ 345).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Невозможность предоставления земельных участков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без проведения торгов 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соответствии с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постановлением Правительства Республики Хакасия № 345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 без актуализации значений количественных показателей критериев масштабных инвестиционных проектов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3.2.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Анализ опыта субъектов Российской Федерации в соответствующих сферах деятельности**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4.1.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Анализ опыта субъектов Российской Федерации в соответствующих сферах деятельности: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Предлагаемый проект постановления согласуется с опытом субъектов Российской Федерации. Аналогичные нормативные правовые акты принимаются в иных субъектах Российской Федерации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4.2.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остановление Правительства Омской области от 17.05.2024 № 271-п «Об утверждении Порядка заключения, мониторинга хода реализации, изменения и расторжения инвестиционного соглашения, о  внесении изменений в отдельные постановления Пра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вительства Омской области и признании утратившими силу отдельных постановлений Правительства Омской области», п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остановление Правительства ЯО от 13.03.2018 № 153-п «Об утверждении Порядка рассмотрения документов, обосновывающих соответствие масштабного инвестиционного проекта установленным критериям, заключения соглашения о реализации масшта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бного инвестиционного проекта, заключения дополнительного соглашения о полном или частичном изменении формы реализации масштабного инвестиционного проекта, реализации мероприятий в рамках масштабного инвестиционного проекта», п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остановление Правительства Иркутской области от 18.09.2023 № 824-пп «О Порядке рассмотрения инвестиционных проектов, заключения, изменения, расторжения инвестиционных соглашений»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   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57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ind w:left="357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Цели предлагаемого регулирования, ключевые показатели достижения целей предлагаемого регулирования, сроки их достижения 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57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1402"/>
        </w:trPr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36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5.1. Цели предлагаемого регулирования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5.2 Ключевые показатели (цифровое выражение целей правового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регулирования)*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5.3. Сроки достижения ключевых показателей*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5.4 Значения ключевых показателей*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63"/>
        </w:trPr>
        <w:tc>
          <w:tcPr>
            <w:gridSpan w:val="10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Актуальное значение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Прогнози-руемое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значение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Поддержка инвестиционной и предпринимательской деятельности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5.5.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Обоснование соответствия целей предлагаемого регулирования принципам правового регулирования, программным документам, федеральному законодательству и законодательству Республики Хакасия: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Проект постановления Правительства Республики Хакасия </w:t>
            </w:r>
            <w:r>
              <w:rPr>
                <w:rFonts w:ascii="PT Astra Serif" w:hAnsi="PT Astra Serif" w:eastAsia="PT Astra Serif" w:cs="PT Astra Serif"/>
                <w:strike w:val="0"/>
                <w:sz w:val="24"/>
                <w:szCs w:val="24"/>
                <w:u w:val="non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trike w:val="0"/>
                <w:color w:val="000000" w:themeColor="text1"/>
                <w:sz w:val="24"/>
                <w:szCs w:val="24"/>
                <w:u w:val="none"/>
              </w:rPr>
              <w:t xml:space="preserve">О внесении изменений в постановление Правительства Республики Хакасия </w:t>
            </w:r>
            <w:r>
              <w:rPr>
                <w:rFonts w:ascii="PT Astra Serif" w:hAnsi="PT Astra Serif" w:eastAsia="PT Astra Serif" w:cs="PT Astra Serif"/>
                <w:strike w:val="0"/>
                <w:color w:val="000000" w:themeColor="text1"/>
                <w:sz w:val="24"/>
                <w:szCs w:val="24"/>
                <w:u w:val="none"/>
              </w:rPr>
              <w:t xml:space="preserve">от 09.07.2019 № 345 «О мерах по реализации Закона Республики Хакасия от 14.07.2017 </w:t>
            </w:r>
            <w:r>
              <w:rPr>
                <w:rFonts w:ascii="PT Astra Serif" w:hAnsi="PT Astra Serif" w:eastAsia="PT Astra Serif" w:cs="PT Astra Serif"/>
                <w:strike w:val="0"/>
                <w:color w:val="000000" w:themeColor="text1"/>
                <w:sz w:val="24"/>
                <w:szCs w:val="24"/>
                <w:u w:val="none"/>
              </w:rPr>
              <w:t xml:space="preserve">№ 56-ЗРХ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разработан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в целях эффективной реализации Закона Республики Хакасия от 14.07.2017 № 56-ЗРХ «О критериях, которым должны соответствовать объекты социально-культур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торгов», Закона Республики Хакасия от 05.12.2019 № 85-ЗРХ «Об инвестиционной политике 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Республике Хакасия»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5.6.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Описание предлагаемого регулирования, иных возможных способов решения проблемы и обоснование выбора предлагаемого способа решения проблемы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160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6.1.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Описание предлагаемого способа решения проблемы и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преодоления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связанных с ней негативных эффектов: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Проектом постановления предусмотрено внесение изменений в Порядок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принятия решения о соответствии (несоответствии) объекта социально-культурного или коммунально-бытового назначения, масштабного инвестиционного проекта критериям, установленным Законом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Республики Хакасия от 14.07.2017 N 56-ЗРХ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я в аренду без проведения торгов» в ч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асти определения индивидуальных сроков по рассмотрению обращений юридических лиц, имеющих статус ответственного субъекта предпринимательской деятельности в Республике Хакасия. Кроме того, проектом постановления предлагается предусмотреть случаи, в которых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распоряжение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Главы Республики Хакасия - Председателя Правительства Республики Хакасия о праве юридического лица на заключение договора аренды земельного участка для размещения объекта социально-культурного или коммунально-бытового назначения, реализации масштабного инв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естиционного проекта без проведения торгов подлежит утратившим силу. Также предлагается утвердить порядок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заключения, изменения и расторжения соглашения о сотрудничестве в ходе реализации инвестиционного проекта между Министерством экономического развития Республики Хакасия и инициатором проекта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. Дополнительно проектом постановления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обновлены значения количественных показателей критериев масштабных инвестиционных проектов, для реализации которых предоставляются земельные участки в аренду без проведения торгов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6.2.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Описание иных способов решения проблемы (с указанием того, каким образом каждым из способов могла бы быть решена проблема, в том числе без введения нового регулирования)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</w:r>
            <w:bookmarkStart w:id="0" w:name="_GoBack"/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Иные возможные способы решения поставленных проблем Министерством экономического развития Республики Хакасия не выявлены.</w:t>
            </w:r>
            <w:bookmarkEnd w:id="0"/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6.3.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Обоснование выбора предлагаемого способа решения проблемы: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6.4.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4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Основные группы субъектов пре</w:t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7.1. Группа участников правоотношений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7.2. Оценка количества участников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правоотношений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Юридические лица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Министерство экономического развития Республики Хакасия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7.3.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Новые функции, полномочия, обязанности и права органов государственной власти и органов местного самоуправления или сведения об их изменении, а также порядок организации их исполнения**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997"/>
        </w:trPr>
        <w:tc>
          <w:tcPr>
            <w:gridSpan w:val="1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8.1. Описание новых или изменения существующих функций, полномочий, обязанностей или прав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8.2. Порядок реализации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Оценка соответствующих расходов (возможных поступлений) республиканского бюджета Республики Хакасия**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9.1. Наименование новой или изменяемой функции, полномочия, обязанности или права (кратко указываются данные из пункта 8.1 сводного отчета)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9.2. Описание видов расходов (возможных поступлений) республиканского бюджета Республики Хакасия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9.3. Количественная оценка расходов (возможных поступлений)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Министерство экономического развития Республики Хакасия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34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изменение сроков и процедуры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Единовременные расходы в год возникновения: 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334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Периодические расходы за период ________: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Возможные поступления за период ________: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9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.4.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Итого единовременные расходы в год возникновения: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9.5.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Итого периодические расходы за год (без учета года возникновения):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9.6.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Итого возможные поступления за год: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9.7.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Новые обязательные требования, обязанности для субъектов предпринимательской и иной экономи</w:t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ческой деятельности, новая ответственность за нарушение нормативных правовых актов Республики Хакасия, новые обязанности, запреты и ограничения для субъектов предпринимательской и иной экономической деятельности, а также порядок организации их исполнения**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10.1. Описание новых преимуществ, обязательных требований, обязанностей, ограничений, ответственности или изменения содержания существующих обязательных требований, обязанностей, ограничений и ответственности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10.2. Порядок реализации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Юридические лица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946" w:type="dxa"/>
            <w:textDirection w:val="lrTb"/>
            <w:noWrap w:val="false"/>
          </w:tcPr>
          <w:p>
            <w:pPr>
              <w:ind w:firstLine="0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1. Для внесения изменений в соглашение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 сотрудничестве в ходе реализации инвестиционного проекта между Министерством экономического развития Республики Хакасия и инициатором проекта (далее – соглашение)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 по соглашению сторон инициатору проекта необходимо подать обращение 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Министерством экономического развития Республики Хакасия.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  <w:p>
            <w:pPr>
              <w:ind w:firstLine="0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2. Обновленные значения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количественных показателей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критериев, которым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предоставляются в аренду без проведения торгов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947" w:type="dxa"/>
            <w:textDirection w:val="lrTb"/>
            <w:noWrap w:val="false"/>
          </w:tcPr>
          <w:p>
            <w:pPr>
              <w:ind w:left="0" w:right="0" w:firstLine="0"/>
              <w:jc w:val="both"/>
              <w:spacing w:after="0" w:afterAutospacing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1.Для внесения изменений в соглашение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 сотрудничестве в ходе реализации инвестиционного проекта между Министерством экономического развития Республики Хакасия и инициатором проекта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 по соглашению сторон инициатор проекта направляет в уполномоченный орган следующие документы: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ind w:left="0" w:right="0" w:firstLine="142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1) обращение в свободной форме с указанием причины внесения изменений;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r>
          </w:p>
          <w:p>
            <w:pPr>
              <w:ind w:left="0" w:right="0" w:firstLine="142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2) два экземпляра проекта дополнительного соглашения к соглашению, подписанные и скрепленные печатью (при наличии) инициатора проекта;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r>
          </w:p>
          <w:p>
            <w:pPr>
              <w:ind w:left="0" w:right="0" w:firstLine="142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3) документы, обосновывающие необходимость внесения измене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ний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в соглашение;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r>
          </w:p>
          <w:p>
            <w:pPr>
              <w:ind w:left="0" w:right="0" w:firstLine="142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4) перечень мероприятий, выполненных в рамках соглашения, в том числе фактический объем финансирования на реализацию проекта, количество созданных рабочих мест и текущий статус реализации проекта;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r>
          </w:p>
          <w:p>
            <w:pPr>
              <w:ind w:left="0" w:right="0" w:firstLine="142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5) документы, предусмотренные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подпунктом 1 пункта 4 и подпунктом 2 пункта 5 Порядка принятия решения о соответствии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(несоответствии) объекта социально-культурного или коммунально-бытового назначения, масштабного инвестиционного проекта критериям, установленным Законом Республики Хакасия от 14.07.2017 № 56-ЗРХ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«О критериях, которым должны со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торгов», утвержденного настоящим постановлением.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ind w:left="0" w:right="0" w:firstLine="0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Для расторжения соглашения по соглашению сторон инициатор проекта направляет в уполномоченный орган следующие документы: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r>
          </w:p>
          <w:p>
            <w:pPr>
              <w:ind w:left="0" w:right="0" w:firstLine="0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1) заявление в свободной форме с указанием причины расторжения;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r>
          </w:p>
          <w:p>
            <w:pPr>
              <w:ind w:left="0" w:right="0" w:firstLine="0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  <w:t xml:space="preserve">2) два экземпляра проекта соглашения о расторжении соглашения, подписанные и скрепленные печатью (при наличии) инициатора проекта.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r>
          </w:p>
          <w:p>
            <w:pPr>
              <w:ind w:left="0" w:right="0" w:firstLine="0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2. Без изменений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ind w:left="360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11. 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обязательных требований или обязанностей, а также связанных с введением новой ответственности**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11.1. Группа субъектов предпринимательской и иной экономической деятельности (указываются соответствующие данные из пункта 7.1 сводного отчета)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9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11.2. Описание новых преимуществ, обязательных требований обязанностей, ограничений или изменения содержания существующих обязательных требований, обязанностей и ограничений (кратко указываются данные из пункта 10.1 сводного отчета)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11.3. Описание и оценка видов расходов, а также доходов (экономии), возникающих, в том числе в связи с отсутствием необходимости соблюдать требования, обязанности, запреты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34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Юридические лица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9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9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.K)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11.4.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8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Итого единовременные расходы/доходы в год возникновения (в масштабе, установленном пунктом 7.2 сводного отчета):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11.5.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8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Итого периодические расходы/доходы за год (в масштабе, установленном пунктом 7.2 сводного отчета, без учета года возникновения):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11.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8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2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ind w:left="360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12. Риски решения проблемы предложенным способом регулирования и риски негативных последствий, а также описание </w:t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методов контроля </w:t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эффективности избранного способа достижения цели регулирования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1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12.1. Риски решения проблемы предложенным способом и риски негативных последствий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12.2. Оценка вероятности наступления рисков*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12.3. Методы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контроля эффективности избранного способа достижения целей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регулирования (контроля рисков)*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12.4. Степень контроля рисков*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Поскольку масштабный инвестиционный проект должен соответствовать одному из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значений количественных показателей критериев вносимое изменение несет незначительное наступление рисков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12.5.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102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ind w:left="360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13. Необходимые для достижения заявленных целей регулирования организационно-технические, методологические, информационные и иные мероприятия*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13.1. Мероприятия необходимые для достижения целей регулирования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8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13.2. Сроки мероприятий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3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13.3. Описание ожидаемого результата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(Мероприятие 1)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8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(Мероприятие №)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8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102" w:type="dxa"/>
            <w:textDirection w:val="lrTb"/>
            <w:noWrap w:val="false"/>
          </w:tcPr>
          <w:p>
            <w:pPr>
              <w:ind w:left="360"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ind w:left="360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14. Индикативные показатели, программы мониторинга и иные способы (методы) оценки достижения заявленных целей регулирования*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1951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14.1. Цели предлагаемого регулирования (кратко указываются данные из пункта 5.1 сводного отчета)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1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6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14.2. Индикативные показатели (отражение степени (этапов) достижения целей правового регулирования) и единицы их измерения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2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(Цель №)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(Показатель №.1)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95"/>
        </w:trPr>
        <w:tc>
          <w:tcPr>
            <w:gridSpan w:val="7"/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322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1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6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(Показатель №.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K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14.3.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Информация о программах мониторинга и иных способах (методах) оценки достижения заявленных целей регулирования: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14.4.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102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ind w:left="360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15. Предполагаемая дата вступления в силу проекта нормативного акта, необходимость установления переходных положений (переходного периода), а также эксперимента**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15.1.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Предполагаемая дата вступления в силу проекта нормативного акта:</w:t>
            </w:r>
            <w:r>
              <w:rPr>
                <w:rFonts w:ascii="PT Astra Serif" w:hAnsi="PT Astra Serif" w:eastAsia="PT Astra Serif" w:cs="PT Astra Serif"/>
              </w:rPr>
              <w:t xml:space="preserve"> 4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квартал 2026 года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1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15.2. Необходимость установления переходных положений (переходного периода):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u w:val="singl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u w:val="single"/>
              </w:rPr>
              <w:t xml:space="preserve">отсутствует </w:t>
            </w:r>
            <w:r>
              <w:rPr>
                <w:rFonts w:ascii="PT Astra Serif" w:hAnsi="PT Astra Serif" w:cs="PT Astra Serif"/>
                <w:sz w:val="24"/>
                <w:szCs w:val="24"/>
                <w:u w:val="single"/>
              </w:rPr>
            </w:r>
            <w:r>
              <w:rPr>
                <w:rFonts w:ascii="PT Astra Serif" w:hAnsi="PT Astra Serif" w:cs="PT Astra Serif"/>
                <w:sz w:val="24"/>
                <w:szCs w:val="24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присутствует</w:t>
            </w: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/отсутствует)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15.3. Сведения о переходных положениях (при необходимости):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15.4.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Необходимость установления эксперимента: отсутствует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15.5.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Сведения о предполагаемом эксперименте (при наличии): 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102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16. Иные сведения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16.1.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Иные сведения, которые, по мнению регулирующего органа, позволяют оценить обоснованность предлагаемого регулирования: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16.2.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6"/>
              </w:rPr>
              <w:t xml:space="preserve">Наименование инициатора проекта закона (при наличии):</w:t>
            </w:r>
            <w:r>
              <w:rPr>
                <w:rFonts w:ascii="PT Astra Serif" w:hAnsi="PT Astra Serif" w:cs="PT Astra Serif"/>
                <w:sz w:val="24"/>
                <w:szCs w:val="26"/>
              </w:rPr>
            </w:r>
            <w:r>
              <w:rPr>
                <w:rFonts w:ascii="PT Astra Serif" w:hAnsi="PT Astra Serif" w:cs="PT Astra Serif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16.3.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Сведения о приложениях к сводному отчету (при наличии):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Министр экономического развития Республики Хакасия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5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1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Р.В.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Ковтун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(наименование должности)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(подпись)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1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(фамилия, инициалы лица)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shd w:val="clear" w:color="auto" w:fill="ffff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both"/>
        <w:spacing w:after="0" w:line="240" w:lineRule="auto"/>
        <w:shd w:val="clear" w:color="auto" w:fill="ffff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sectPr>
      <w:headerReference w:type="default" r:id="rId9"/>
      <w:footnotePr/>
      <w:endnotePr/>
      <w:type w:val="nextPage"/>
      <w:pgSz w:w="12240" w:h="15840" w:orient="portrait"/>
      <w:pgMar w:top="1134" w:right="850" w:bottom="1134" w:left="1701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7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3" w:hanging="360"/>
        <w:tabs>
          <w:tab w:val="num" w:pos="1103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  <w:tabs>
          <w:tab w:val="num" w:pos="1823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  <w:tabs>
          <w:tab w:val="num" w:pos="2543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  <w:tabs>
          <w:tab w:val="num" w:pos="3263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  <w:tabs>
          <w:tab w:val="num" w:pos="3983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  <w:tabs>
          <w:tab w:val="num" w:pos="4703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  <w:tabs>
          <w:tab w:val="num" w:pos="5423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  <w:tabs>
          <w:tab w:val="num" w:pos="6143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  <w:tabs>
          <w:tab w:val="num" w:pos="6863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2809" w:hanging="102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abstractNum w:abstractNumId="1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909" w:hanging="12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31"/>
  </w:num>
  <w:num w:numId="2">
    <w:abstractNumId w:val="16"/>
  </w:num>
  <w:num w:numId="3">
    <w:abstractNumId w:val="7"/>
  </w:num>
  <w:num w:numId="4">
    <w:abstractNumId w:val="9"/>
  </w:num>
  <w:num w:numId="5">
    <w:abstractNumId w:val="3"/>
  </w:num>
  <w:num w:numId="6">
    <w:abstractNumId w:val="33"/>
  </w:num>
  <w:num w:numId="7">
    <w:abstractNumId w:val="17"/>
  </w:num>
  <w:num w:numId="8">
    <w:abstractNumId w:val="20"/>
  </w:num>
  <w:num w:numId="9">
    <w:abstractNumId w:val="21"/>
  </w:num>
  <w:num w:numId="10">
    <w:abstractNumId w:val="36"/>
  </w:num>
  <w:num w:numId="11">
    <w:abstractNumId w:val="18"/>
  </w:num>
  <w:num w:numId="12">
    <w:abstractNumId w:val="14"/>
  </w:num>
  <w:num w:numId="13">
    <w:abstractNumId w:val="5"/>
  </w:num>
  <w:num w:numId="14">
    <w:abstractNumId w:val="6"/>
  </w:num>
  <w:num w:numId="15">
    <w:abstractNumId w:val="27"/>
  </w:num>
  <w:num w:numId="16">
    <w:abstractNumId w:val="39"/>
  </w:num>
  <w:num w:numId="17">
    <w:abstractNumId w:val="24"/>
  </w:num>
  <w:num w:numId="18">
    <w:abstractNumId w:val="10"/>
  </w:num>
  <w:num w:numId="19">
    <w:abstractNumId w:val="11"/>
  </w:num>
  <w:num w:numId="20">
    <w:abstractNumId w:val="4"/>
  </w:num>
  <w:num w:numId="21">
    <w:abstractNumId w:val="26"/>
  </w:num>
  <w:num w:numId="22">
    <w:abstractNumId w:val="1"/>
  </w:num>
  <w:num w:numId="23">
    <w:abstractNumId w:val="8"/>
  </w:num>
  <w:num w:numId="24">
    <w:abstractNumId w:val="13"/>
  </w:num>
  <w:num w:numId="25">
    <w:abstractNumId w:val="40"/>
  </w:num>
  <w:num w:numId="26">
    <w:abstractNumId w:val="2"/>
  </w:num>
  <w:num w:numId="27">
    <w:abstractNumId w:val="34"/>
  </w:num>
  <w:num w:numId="28">
    <w:abstractNumId w:val="35"/>
  </w:num>
  <w:num w:numId="29">
    <w:abstractNumId w:val="32"/>
  </w:num>
  <w:num w:numId="30">
    <w:abstractNumId w:val="30"/>
  </w:num>
  <w:num w:numId="31">
    <w:abstractNumId w:val="12"/>
  </w:num>
  <w:num w:numId="32">
    <w:abstractNumId w:val="37"/>
  </w:num>
  <w:num w:numId="33">
    <w:abstractNumId w:val="29"/>
  </w:num>
  <w:num w:numId="34">
    <w:abstractNumId w:val="22"/>
  </w:num>
  <w:num w:numId="35">
    <w:abstractNumId w:val="19"/>
  </w:num>
  <w:num w:numId="36">
    <w:abstractNumId w:val="23"/>
  </w:num>
  <w:num w:numId="37">
    <w:abstractNumId w:val="25"/>
  </w:num>
  <w:num w:numId="38">
    <w:abstractNumId w:val="28"/>
  </w:num>
  <w:num w:numId="39">
    <w:abstractNumId w:val="15"/>
  </w:num>
  <w:num w:numId="40">
    <w:abstractNumId w:val="0"/>
  </w:num>
  <w:num w:numId="41">
    <w:abstractNumId w:val="38"/>
  </w:num>
  <w:num w:numId="42">
    <w:abstractNumId w:val="41"/>
  </w:num>
  <w:num w:numId="43">
    <w:abstractNumId w:val="42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9">
    <w:name w:val="Heading 9 Char"/>
    <w:basedOn w:val="775"/>
    <w:link w:val="77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60">
    <w:name w:val="Title Char"/>
    <w:basedOn w:val="775"/>
    <w:link w:val="787"/>
    <w:uiPriority w:val="10"/>
    <w:rPr>
      <w:sz w:val="48"/>
      <w:szCs w:val="48"/>
    </w:rPr>
  </w:style>
  <w:style w:type="character" w:styleId="761">
    <w:name w:val="Quote Char"/>
    <w:link w:val="790"/>
    <w:uiPriority w:val="29"/>
    <w:rPr>
      <w:i/>
    </w:rPr>
  </w:style>
  <w:style w:type="character" w:styleId="762">
    <w:name w:val="Intense Quote Char"/>
    <w:link w:val="792"/>
    <w:uiPriority w:val="30"/>
    <w:rPr>
      <w:i/>
    </w:rPr>
  </w:style>
  <w:style w:type="character" w:styleId="763">
    <w:name w:val="Footnote Text Char"/>
    <w:link w:val="923"/>
    <w:uiPriority w:val="99"/>
    <w:rPr>
      <w:sz w:val="18"/>
    </w:rPr>
  </w:style>
  <w:style w:type="character" w:styleId="764">
    <w:name w:val="Endnote Text Char"/>
    <w:link w:val="926"/>
    <w:uiPriority w:val="99"/>
    <w:rPr>
      <w:sz w:val="20"/>
    </w:rPr>
  </w:style>
  <w:style w:type="paragraph" w:styleId="765" w:default="1">
    <w:name w:val="Normal"/>
    <w:qFormat/>
    <w:rPr>
      <w:rFonts w:ascii="Calibri" w:hAnsi="Calibri" w:eastAsia="Times New Roman" w:cs="Times New Roman"/>
      <w:lang w:eastAsia="ru-RU"/>
    </w:rPr>
  </w:style>
  <w:style w:type="paragraph" w:styleId="766">
    <w:name w:val="Heading 1"/>
    <w:basedOn w:val="765"/>
    <w:next w:val="765"/>
    <w:link w:val="941"/>
    <w:uiPriority w:val="9"/>
    <w:qFormat/>
    <w:pPr>
      <w:jc w:val="center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paragraph" w:styleId="767">
    <w:name w:val="Heading 2"/>
    <w:basedOn w:val="765"/>
    <w:next w:val="765"/>
    <w:link w:val="942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768">
    <w:name w:val="Heading 3"/>
    <w:basedOn w:val="765"/>
    <w:next w:val="765"/>
    <w:link w:val="943"/>
    <w:uiPriority w:val="9"/>
    <w:unhideWhenUsed/>
    <w:qFormat/>
    <w:pPr>
      <w:keepLines/>
      <w:keepNext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769">
    <w:name w:val="Heading 4"/>
    <w:basedOn w:val="765"/>
    <w:next w:val="765"/>
    <w:link w:val="944"/>
    <w:uiPriority w:val="9"/>
    <w:unhideWhenUsed/>
    <w:qFormat/>
    <w:pPr>
      <w:keepLines/>
      <w:keepNext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770">
    <w:name w:val="Heading 5"/>
    <w:basedOn w:val="765"/>
    <w:next w:val="765"/>
    <w:link w:val="945"/>
    <w:uiPriority w:val="9"/>
    <w:unhideWhenUsed/>
    <w:qFormat/>
    <w:pPr>
      <w:keepLines/>
      <w:keepNext/>
      <w:spacing w:before="200" w:after="0"/>
      <w:outlineLvl w:val="4"/>
    </w:pPr>
    <w:rPr>
      <w:rFonts w:ascii="Cambria" w:hAnsi="Cambria"/>
      <w:color w:val="243f60"/>
    </w:rPr>
  </w:style>
  <w:style w:type="paragraph" w:styleId="771">
    <w:name w:val="Heading 6"/>
    <w:basedOn w:val="765"/>
    <w:next w:val="765"/>
    <w:link w:val="946"/>
    <w:uiPriority w:val="9"/>
    <w:unhideWhenUsed/>
    <w:qFormat/>
    <w:pPr>
      <w:keepLines/>
      <w:keepNext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72">
    <w:name w:val="Heading 7"/>
    <w:basedOn w:val="765"/>
    <w:next w:val="765"/>
    <w:link w:val="947"/>
    <w:uiPriority w:val="9"/>
    <w:unhideWhenUsed/>
    <w:qFormat/>
    <w:pPr>
      <w:keepLines/>
      <w:keepNext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773">
    <w:name w:val="Heading 8"/>
    <w:basedOn w:val="765"/>
    <w:next w:val="765"/>
    <w:link w:val="948"/>
    <w:uiPriority w:val="9"/>
    <w:unhideWhenUsed/>
    <w:qFormat/>
    <w:pPr>
      <w:keepLines/>
      <w:keepNext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774">
    <w:name w:val="Heading 9"/>
    <w:basedOn w:val="765"/>
    <w:next w:val="765"/>
    <w:link w:val="786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5" w:default="1">
    <w:name w:val="Default Paragraph Font"/>
    <w:uiPriority w:val="1"/>
    <w:semiHidden/>
    <w:unhideWhenUsed/>
  </w:style>
  <w:style w:type="table" w:styleId="7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7" w:default="1">
    <w:name w:val="No List"/>
    <w:uiPriority w:val="99"/>
    <w:semiHidden/>
    <w:unhideWhenUsed/>
  </w:style>
  <w:style w:type="character" w:styleId="778" w:customStyle="1">
    <w:name w:val="Heading 1 Char"/>
    <w:basedOn w:val="775"/>
    <w:uiPriority w:val="9"/>
    <w:rPr>
      <w:rFonts w:ascii="Arial" w:hAnsi="Arial" w:eastAsia="Arial" w:cs="Arial"/>
      <w:sz w:val="40"/>
      <w:szCs w:val="40"/>
    </w:rPr>
  </w:style>
  <w:style w:type="character" w:styleId="779" w:customStyle="1">
    <w:name w:val="Heading 2 Char"/>
    <w:basedOn w:val="775"/>
    <w:uiPriority w:val="9"/>
    <w:rPr>
      <w:rFonts w:ascii="Arial" w:hAnsi="Arial" w:eastAsia="Arial" w:cs="Arial"/>
      <w:sz w:val="34"/>
    </w:rPr>
  </w:style>
  <w:style w:type="character" w:styleId="780" w:customStyle="1">
    <w:name w:val="Heading 3 Char"/>
    <w:basedOn w:val="775"/>
    <w:uiPriority w:val="9"/>
    <w:rPr>
      <w:rFonts w:ascii="Arial" w:hAnsi="Arial" w:eastAsia="Arial" w:cs="Arial"/>
      <w:sz w:val="30"/>
      <w:szCs w:val="30"/>
    </w:rPr>
  </w:style>
  <w:style w:type="character" w:styleId="781" w:customStyle="1">
    <w:name w:val="Heading 4 Char"/>
    <w:basedOn w:val="775"/>
    <w:uiPriority w:val="9"/>
    <w:rPr>
      <w:rFonts w:ascii="Arial" w:hAnsi="Arial" w:eastAsia="Arial" w:cs="Arial"/>
      <w:b/>
      <w:bCs/>
      <w:sz w:val="26"/>
      <w:szCs w:val="26"/>
    </w:rPr>
  </w:style>
  <w:style w:type="character" w:styleId="782" w:customStyle="1">
    <w:name w:val="Heading 5 Char"/>
    <w:basedOn w:val="775"/>
    <w:uiPriority w:val="9"/>
    <w:rPr>
      <w:rFonts w:ascii="Arial" w:hAnsi="Arial" w:eastAsia="Arial" w:cs="Arial"/>
      <w:b/>
      <w:bCs/>
      <w:sz w:val="24"/>
      <w:szCs w:val="24"/>
    </w:rPr>
  </w:style>
  <w:style w:type="character" w:styleId="783" w:customStyle="1">
    <w:name w:val="Heading 6 Char"/>
    <w:basedOn w:val="775"/>
    <w:uiPriority w:val="9"/>
    <w:rPr>
      <w:rFonts w:ascii="Arial" w:hAnsi="Arial" w:eastAsia="Arial" w:cs="Arial"/>
      <w:b/>
      <w:bCs/>
      <w:sz w:val="22"/>
      <w:szCs w:val="22"/>
    </w:rPr>
  </w:style>
  <w:style w:type="character" w:styleId="784" w:customStyle="1">
    <w:name w:val="Heading 7 Char"/>
    <w:basedOn w:val="7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5" w:customStyle="1">
    <w:name w:val="Heading 8 Char"/>
    <w:basedOn w:val="775"/>
    <w:uiPriority w:val="9"/>
    <w:rPr>
      <w:rFonts w:ascii="Arial" w:hAnsi="Arial" w:eastAsia="Arial" w:cs="Arial"/>
      <w:i/>
      <w:iCs/>
      <w:sz w:val="22"/>
      <w:szCs w:val="22"/>
    </w:rPr>
  </w:style>
  <w:style w:type="character" w:styleId="786" w:customStyle="1">
    <w:name w:val="Заголовок 9 Знак"/>
    <w:basedOn w:val="775"/>
    <w:link w:val="774"/>
    <w:uiPriority w:val="9"/>
    <w:rPr>
      <w:rFonts w:ascii="Arial" w:hAnsi="Arial" w:eastAsia="Arial" w:cs="Arial"/>
      <w:i/>
      <w:iCs/>
      <w:sz w:val="21"/>
      <w:szCs w:val="21"/>
    </w:rPr>
  </w:style>
  <w:style w:type="paragraph" w:styleId="787">
    <w:name w:val="Title"/>
    <w:basedOn w:val="765"/>
    <w:next w:val="765"/>
    <w:link w:val="788"/>
    <w:uiPriority w:val="10"/>
    <w:qFormat/>
    <w:pPr>
      <w:contextualSpacing/>
      <w:spacing w:before="300"/>
    </w:pPr>
    <w:rPr>
      <w:sz w:val="48"/>
      <w:szCs w:val="48"/>
    </w:rPr>
  </w:style>
  <w:style w:type="character" w:styleId="788" w:customStyle="1">
    <w:name w:val="Название Знак"/>
    <w:basedOn w:val="775"/>
    <w:link w:val="787"/>
    <w:uiPriority w:val="10"/>
    <w:rPr>
      <w:sz w:val="48"/>
      <w:szCs w:val="48"/>
    </w:rPr>
  </w:style>
  <w:style w:type="character" w:styleId="789" w:customStyle="1">
    <w:name w:val="Subtitle Char"/>
    <w:basedOn w:val="775"/>
    <w:uiPriority w:val="11"/>
    <w:rPr>
      <w:sz w:val="24"/>
      <w:szCs w:val="24"/>
    </w:rPr>
  </w:style>
  <w:style w:type="paragraph" w:styleId="790">
    <w:name w:val="Quote"/>
    <w:basedOn w:val="765"/>
    <w:next w:val="765"/>
    <w:link w:val="791"/>
    <w:uiPriority w:val="29"/>
    <w:qFormat/>
    <w:pPr>
      <w:ind w:left="720" w:right="720"/>
    </w:pPr>
    <w:rPr>
      <w:i/>
    </w:rPr>
  </w:style>
  <w:style w:type="character" w:styleId="791" w:customStyle="1">
    <w:name w:val="Цитата 2 Знак"/>
    <w:link w:val="790"/>
    <w:uiPriority w:val="29"/>
    <w:rPr>
      <w:i/>
    </w:rPr>
  </w:style>
  <w:style w:type="paragraph" w:styleId="792">
    <w:name w:val="Intense Quote"/>
    <w:basedOn w:val="765"/>
    <w:next w:val="765"/>
    <w:link w:val="79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3" w:customStyle="1">
    <w:name w:val="Выделенная цитата Знак"/>
    <w:link w:val="792"/>
    <w:uiPriority w:val="30"/>
    <w:rPr>
      <w:i/>
    </w:rPr>
  </w:style>
  <w:style w:type="character" w:styleId="794" w:customStyle="1">
    <w:name w:val="Header Char"/>
    <w:basedOn w:val="775"/>
    <w:uiPriority w:val="99"/>
  </w:style>
  <w:style w:type="character" w:styleId="795" w:customStyle="1">
    <w:name w:val="Footer Char"/>
    <w:basedOn w:val="775"/>
    <w:uiPriority w:val="99"/>
  </w:style>
  <w:style w:type="paragraph" w:styleId="796">
    <w:name w:val="Caption"/>
    <w:basedOn w:val="765"/>
    <w:next w:val="765"/>
    <w:link w:val="797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97" w:customStyle="1">
    <w:name w:val="Caption Char"/>
    <w:uiPriority w:val="35"/>
  </w:style>
  <w:style w:type="table" w:styleId="798" w:customStyle="1">
    <w:name w:val="Table Grid Light"/>
    <w:basedOn w:val="77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9" w:customStyle="1">
    <w:name w:val="Plain Table 1"/>
    <w:basedOn w:val="77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0" w:customStyle="1">
    <w:name w:val="Plain Table 2"/>
    <w:basedOn w:val="77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1" w:customStyle="1">
    <w:name w:val="Plain Table 3"/>
    <w:basedOn w:val="7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2" w:customStyle="1">
    <w:name w:val="Plain Table 4"/>
    <w:basedOn w:val="7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Plain Table 5"/>
    <w:basedOn w:val="7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1 Light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1 Light - Accent 1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Grid Table 1 Light - Accent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Grid Table 1 Light - Accent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Grid Table 1 Light - Accent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Grid Table 1 Light - Accent 5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Grid Table 1 Light - Accent 6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Grid Table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2 - Accent 1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2 - Accent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2 - Accent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2 - Accent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2 - Accent 5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2 - Accent 6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3 - Accent 1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3 - Accent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3 - Accent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3 - Accent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3 - Accent 5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3 - Accent 6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4"/>
    <w:basedOn w:val="7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6" w:customStyle="1">
    <w:name w:val="Grid Table 4 - Accent 1"/>
    <w:basedOn w:val="7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27" w:customStyle="1">
    <w:name w:val="Grid Table 4 - Accent 2"/>
    <w:basedOn w:val="7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28" w:customStyle="1">
    <w:name w:val="Grid Table 4 - Accent 3"/>
    <w:basedOn w:val="7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29" w:customStyle="1">
    <w:name w:val="Grid Table 4 - Accent 4"/>
    <w:basedOn w:val="7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0" w:customStyle="1">
    <w:name w:val="Grid Table 4 - Accent 5"/>
    <w:basedOn w:val="7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1" w:customStyle="1">
    <w:name w:val="Grid Table 4 - Accent 6"/>
    <w:basedOn w:val="7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2" w:customStyle="1">
    <w:name w:val="Grid Table 5 Dark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3" w:customStyle="1">
    <w:name w:val="Grid Table 5 Dark- Accent 1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34" w:customStyle="1">
    <w:name w:val="Grid Table 5 Dark - Accent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35" w:customStyle="1">
    <w:name w:val="Grid Table 5 Dark - Accent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36" w:customStyle="1">
    <w:name w:val="Grid Table 5 Dark- Accent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37" w:customStyle="1">
    <w:name w:val="Grid Table 5 Dark - Accent 5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38" w:customStyle="1">
    <w:name w:val="Grid Table 5 Dark - Accent 6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39" w:customStyle="1">
    <w:name w:val="Grid Table 6 Colorful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0" w:customStyle="1">
    <w:name w:val="Grid Table 6 Colorful - Accent 1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1" w:customStyle="1">
    <w:name w:val="Grid Table 6 Colorful - Accent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2" w:customStyle="1">
    <w:name w:val="Grid Table 6 Colorful - Accent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43" w:customStyle="1">
    <w:name w:val="Grid Table 6 Colorful - Accent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44" w:customStyle="1">
    <w:name w:val="Grid Table 6 Colorful - Accent 5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5" w:customStyle="1">
    <w:name w:val="Grid Table 6 Colorful - Accent 6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6" w:customStyle="1">
    <w:name w:val="Grid Table 7 Colorful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7" w:customStyle="1">
    <w:name w:val="Grid Table 7 Colorful - Accent 1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8" w:customStyle="1">
    <w:name w:val="Grid Table 7 Colorful - Accent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9" w:customStyle="1">
    <w:name w:val="Grid Table 7 Colorful - Accent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 w:customStyle="1">
    <w:name w:val="Grid Table 7 Colorful - Accent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 w:customStyle="1">
    <w:name w:val="Grid Table 7 Colorful - Accent 5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Grid Table 7 Colorful - Accent 6"/>
    <w:basedOn w:val="7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3" w:customStyle="1">
    <w:name w:val="List Table 1 Light"/>
    <w:basedOn w:val="7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1 Light - Accent 1"/>
    <w:basedOn w:val="7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1 Light - Accent 2"/>
    <w:basedOn w:val="7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1 Light - Accent 3"/>
    <w:basedOn w:val="7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1 Light - Accent 4"/>
    <w:basedOn w:val="7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1 Light - Accent 5"/>
    <w:basedOn w:val="7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1 Light - Accent 6"/>
    <w:basedOn w:val="7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1" w:customStyle="1">
    <w:name w:val="List Table 2 - Accent 1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2" w:customStyle="1">
    <w:name w:val="List Table 2 - Accent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63" w:customStyle="1">
    <w:name w:val="List Table 2 - Accent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64" w:customStyle="1">
    <w:name w:val="List Table 2 - Accent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65" w:customStyle="1">
    <w:name w:val="List Table 2 - Accent 5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66" w:customStyle="1">
    <w:name w:val="List Table 2 - Accent 6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67" w:customStyle="1">
    <w:name w:val="List Table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3 - Accent 1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3 - Accent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3 - Accent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3 - Accent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3 - Accent 5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3 - Accent 6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 - Accent 1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4 - Accent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4 - Accent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4 - Accent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4 - Accent 5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4 - Accent 6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5 Dark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 w:customStyle="1">
    <w:name w:val="List Table 5 Dark - Accent 1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3" w:customStyle="1">
    <w:name w:val="List Table 5 Dark - Accent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4" w:customStyle="1">
    <w:name w:val="List Table 5 Dark - Accent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5" w:customStyle="1">
    <w:name w:val="List Table 5 Dark - Accent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6" w:customStyle="1">
    <w:name w:val="List Table 5 Dark - Accent 5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7" w:customStyle="1">
    <w:name w:val="List Table 5 Dark - Accent 6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8" w:customStyle="1">
    <w:name w:val="List Table 6 Colorful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9" w:customStyle="1">
    <w:name w:val="List Table 6 Colorful - Accent 1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0" w:customStyle="1">
    <w:name w:val="List Table 6 Colorful - Accent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1" w:customStyle="1">
    <w:name w:val="List Table 6 Colorful - Accent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2" w:customStyle="1">
    <w:name w:val="List Table 6 Colorful - Accent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93" w:customStyle="1">
    <w:name w:val="List Table 6 Colorful - Accent 5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94" w:customStyle="1">
    <w:name w:val="List Table 6 Colorful - Accent 6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95" w:customStyle="1">
    <w:name w:val="List Table 7 Colorful"/>
    <w:basedOn w:val="7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6" w:customStyle="1">
    <w:name w:val="List Table 7 Colorful - Accent 1"/>
    <w:basedOn w:val="7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7" w:customStyle="1">
    <w:name w:val="List Table 7 Colorful - Accent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8" w:customStyle="1">
    <w:name w:val="List Table 7 Colorful - Accent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9" w:customStyle="1">
    <w:name w:val="List Table 7 Colorful - Accent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0" w:customStyle="1">
    <w:name w:val="List Table 7 Colorful - Accent 5"/>
    <w:basedOn w:val="7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1" w:customStyle="1">
    <w:name w:val="List Table 7 Colorful - Accent 6"/>
    <w:basedOn w:val="7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2" w:customStyle="1">
    <w:name w:val="Lined - Accent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3" w:customStyle="1">
    <w:name w:val="Lined - Accent 1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4" w:customStyle="1">
    <w:name w:val="Lined - Accent 2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5" w:customStyle="1">
    <w:name w:val="Lined - Accent 3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6" w:customStyle="1">
    <w:name w:val="Lined - Accent 4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7" w:customStyle="1">
    <w:name w:val="Lined - Accent 5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8" w:customStyle="1">
    <w:name w:val="Lined - Accent 6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9" w:customStyle="1">
    <w:name w:val="Bordered &amp; Lined - Accent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0" w:customStyle="1">
    <w:name w:val="Bordered &amp; Lined - Accent 1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1" w:customStyle="1">
    <w:name w:val="Bordered &amp; Lined - Accent 2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2" w:customStyle="1">
    <w:name w:val="Bordered &amp; Lined - Accent 3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3" w:customStyle="1">
    <w:name w:val="Bordered &amp; Lined - Accent 4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4" w:customStyle="1">
    <w:name w:val="Bordered &amp; Lined - Accent 5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5" w:customStyle="1">
    <w:name w:val="Bordered &amp; Lined - Accent 6"/>
    <w:basedOn w:val="7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6" w:customStyle="1">
    <w:name w:val="Bordered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7" w:customStyle="1">
    <w:name w:val="Bordered - Accent 1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18" w:customStyle="1">
    <w:name w:val="Bordered - Accent 2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19" w:customStyle="1">
    <w:name w:val="Bordered - Accent 3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0" w:customStyle="1">
    <w:name w:val="Bordered - Accent 4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1" w:customStyle="1">
    <w:name w:val="Bordered - Accent 5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2" w:customStyle="1">
    <w:name w:val="Bordered - Accent 6"/>
    <w:basedOn w:val="7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23">
    <w:name w:val="footnote text"/>
    <w:basedOn w:val="765"/>
    <w:link w:val="924"/>
    <w:uiPriority w:val="99"/>
    <w:semiHidden/>
    <w:unhideWhenUsed/>
    <w:pPr>
      <w:spacing w:after="40" w:line="240" w:lineRule="auto"/>
    </w:pPr>
    <w:rPr>
      <w:sz w:val="18"/>
    </w:rPr>
  </w:style>
  <w:style w:type="character" w:styleId="924" w:customStyle="1">
    <w:name w:val="Текст сноски Знак"/>
    <w:link w:val="923"/>
    <w:uiPriority w:val="99"/>
    <w:rPr>
      <w:sz w:val="18"/>
    </w:rPr>
  </w:style>
  <w:style w:type="character" w:styleId="925">
    <w:name w:val="footnote reference"/>
    <w:basedOn w:val="775"/>
    <w:uiPriority w:val="99"/>
    <w:unhideWhenUsed/>
    <w:rPr>
      <w:vertAlign w:val="superscript"/>
    </w:rPr>
  </w:style>
  <w:style w:type="paragraph" w:styleId="926">
    <w:name w:val="endnote text"/>
    <w:basedOn w:val="765"/>
    <w:link w:val="927"/>
    <w:uiPriority w:val="99"/>
    <w:semiHidden/>
    <w:unhideWhenUsed/>
    <w:pPr>
      <w:spacing w:after="0" w:line="240" w:lineRule="auto"/>
    </w:pPr>
    <w:rPr>
      <w:sz w:val="20"/>
    </w:rPr>
  </w:style>
  <w:style w:type="character" w:styleId="927" w:customStyle="1">
    <w:name w:val="Текст концевой сноски Знак"/>
    <w:link w:val="926"/>
    <w:uiPriority w:val="99"/>
    <w:rPr>
      <w:sz w:val="20"/>
    </w:rPr>
  </w:style>
  <w:style w:type="character" w:styleId="928">
    <w:name w:val="endnote reference"/>
    <w:basedOn w:val="775"/>
    <w:uiPriority w:val="99"/>
    <w:semiHidden/>
    <w:unhideWhenUsed/>
    <w:rPr>
      <w:vertAlign w:val="superscript"/>
    </w:rPr>
  </w:style>
  <w:style w:type="paragraph" w:styleId="929">
    <w:name w:val="toc 1"/>
    <w:basedOn w:val="765"/>
    <w:next w:val="765"/>
    <w:uiPriority w:val="39"/>
    <w:unhideWhenUsed/>
    <w:pPr>
      <w:spacing w:after="57"/>
    </w:pPr>
  </w:style>
  <w:style w:type="paragraph" w:styleId="930">
    <w:name w:val="toc 2"/>
    <w:basedOn w:val="765"/>
    <w:next w:val="765"/>
    <w:uiPriority w:val="39"/>
    <w:unhideWhenUsed/>
    <w:pPr>
      <w:ind w:left="283"/>
      <w:spacing w:after="57"/>
    </w:pPr>
  </w:style>
  <w:style w:type="paragraph" w:styleId="931">
    <w:name w:val="toc 3"/>
    <w:basedOn w:val="765"/>
    <w:next w:val="765"/>
    <w:uiPriority w:val="39"/>
    <w:unhideWhenUsed/>
    <w:pPr>
      <w:ind w:left="567"/>
      <w:spacing w:after="57"/>
    </w:pPr>
  </w:style>
  <w:style w:type="paragraph" w:styleId="932">
    <w:name w:val="toc 4"/>
    <w:basedOn w:val="765"/>
    <w:next w:val="765"/>
    <w:uiPriority w:val="39"/>
    <w:unhideWhenUsed/>
    <w:pPr>
      <w:ind w:left="850"/>
      <w:spacing w:after="57"/>
    </w:pPr>
  </w:style>
  <w:style w:type="paragraph" w:styleId="933">
    <w:name w:val="toc 5"/>
    <w:basedOn w:val="765"/>
    <w:next w:val="765"/>
    <w:uiPriority w:val="39"/>
    <w:unhideWhenUsed/>
    <w:pPr>
      <w:ind w:left="1134"/>
      <w:spacing w:after="57"/>
    </w:pPr>
  </w:style>
  <w:style w:type="paragraph" w:styleId="934">
    <w:name w:val="toc 6"/>
    <w:basedOn w:val="765"/>
    <w:next w:val="765"/>
    <w:uiPriority w:val="39"/>
    <w:unhideWhenUsed/>
    <w:pPr>
      <w:ind w:left="1417"/>
      <w:spacing w:after="57"/>
    </w:pPr>
  </w:style>
  <w:style w:type="paragraph" w:styleId="935">
    <w:name w:val="toc 7"/>
    <w:basedOn w:val="765"/>
    <w:next w:val="765"/>
    <w:uiPriority w:val="39"/>
    <w:unhideWhenUsed/>
    <w:pPr>
      <w:ind w:left="1701"/>
      <w:spacing w:after="57"/>
    </w:pPr>
  </w:style>
  <w:style w:type="paragraph" w:styleId="936">
    <w:name w:val="toc 8"/>
    <w:basedOn w:val="765"/>
    <w:next w:val="765"/>
    <w:uiPriority w:val="39"/>
    <w:unhideWhenUsed/>
    <w:pPr>
      <w:ind w:left="1984"/>
      <w:spacing w:after="57"/>
    </w:pPr>
  </w:style>
  <w:style w:type="paragraph" w:styleId="937">
    <w:name w:val="toc 9"/>
    <w:basedOn w:val="765"/>
    <w:next w:val="765"/>
    <w:uiPriority w:val="39"/>
    <w:unhideWhenUsed/>
    <w:pPr>
      <w:ind w:left="2268"/>
      <w:spacing w:after="57"/>
    </w:pPr>
  </w:style>
  <w:style w:type="paragraph" w:styleId="938">
    <w:name w:val="TOC Heading"/>
    <w:uiPriority w:val="39"/>
    <w:unhideWhenUsed/>
  </w:style>
  <w:style w:type="paragraph" w:styleId="939">
    <w:name w:val="table of figures"/>
    <w:basedOn w:val="765"/>
    <w:next w:val="765"/>
    <w:uiPriority w:val="99"/>
    <w:unhideWhenUsed/>
    <w:pPr>
      <w:spacing w:after="0"/>
    </w:pPr>
  </w:style>
  <w:style w:type="paragraph" w:styleId="940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941" w:customStyle="1">
    <w:name w:val="Заголовок 1 Знак"/>
    <w:basedOn w:val="775"/>
    <w:link w:val="7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42" w:customStyle="1">
    <w:name w:val="Заголовок 2 Знак"/>
    <w:basedOn w:val="775"/>
    <w:link w:val="76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character" w:styleId="943" w:customStyle="1">
    <w:name w:val="Заголовок 3 Знак"/>
    <w:basedOn w:val="775"/>
    <w:link w:val="768"/>
    <w:uiPriority w:val="9"/>
    <w:rPr>
      <w:rFonts w:ascii="Cambria" w:hAnsi="Cambria" w:eastAsia="Times New Roman" w:cs="Times New Roman"/>
      <w:b/>
      <w:bCs/>
      <w:color w:val="4f81bd"/>
      <w:lang w:eastAsia="ru-RU"/>
    </w:rPr>
  </w:style>
  <w:style w:type="character" w:styleId="944" w:customStyle="1">
    <w:name w:val="Заголовок 4 Знак"/>
    <w:basedOn w:val="775"/>
    <w:link w:val="769"/>
    <w:uiPriority w:val="9"/>
    <w:rPr>
      <w:rFonts w:ascii="Cambria" w:hAnsi="Cambria" w:eastAsia="Times New Roman" w:cs="Times New Roman"/>
      <w:b/>
      <w:bCs/>
      <w:i/>
      <w:iCs/>
      <w:color w:val="4f81bd"/>
      <w:lang w:eastAsia="ru-RU"/>
    </w:rPr>
  </w:style>
  <w:style w:type="character" w:styleId="945" w:customStyle="1">
    <w:name w:val="Заголовок 5 Знак"/>
    <w:basedOn w:val="775"/>
    <w:link w:val="770"/>
    <w:uiPriority w:val="9"/>
    <w:rPr>
      <w:rFonts w:ascii="Cambria" w:hAnsi="Cambria" w:eastAsia="Times New Roman" w:cs="Times New Roman"/>
      <w:color w:val="243f60"/>
      <w:lang w:eastAsia="ru-RU"/>
    </w:rPr>
  </w:style>
  <w:style w:type="character" w:styleId="946" w:customStyle="1">
    <w:name w:val="Заголовок 6 Знак"/>
    <w:basedOn w:val="775"/>
    <w:link w:val="771"/>
    <w:uiPriority w:val="9"/>
    <w:rPr>
      <w:rFonts w:ascii="Cambria" w:hAnsi="Cambria" w:eastAsia="Times New Roman" w:cs="Times New Roman"/>
      <w:i/>
      <w:iCs/>
      <w:color w:val="243f60"/>
      <w:lang w:eastAsia="ru-RU"/>
    </w:rPr>
  </w:style>
  <w:style w:type="character" w:styleId="947" w:customStyle="1">
    <w:name w:val="Заголовок 7 Знак"/>
    <w:basedOn w:val="775"/>
    <w:link w:val="772"/>
    <w:uiPriority w:val="9"/>
    <w:rPr>
      <w:rFonts w:ascii="Cambria" w:hAnsi="Cambria" w:eastAsia="Times New Roman" w:cs="Times New Roman"/>
      <w:i/>
      <w:iCs/>
      <w:color w:val="404040"/>
      <w:lang w:eastAsia="ru-RU"/>
    </w:rPr>
  </w:style>
  <w:style w:type="character" w:styleId="948" w:customStyle="1">
    <w:name w:val="Заголовок 8 Знак"/>
    <w:basedOn w:val="775"/>
    <w:link w:val="773"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paragraph" w:styleId="949">
    <w:name w:val="List Paragraph"/>
    <w:basedOn w:val="765"/>
    <w:uiPriority w:val="34"/>
    <w:qFormat/>
    <w:pPr>
      <w:contextualSpacing/>
      <w:ind w:left="720"/>
    </w:pPr>
  </w:style>
  <w:style w:type="table" w:styleId="950">
    <w:name w:val="Table Grid"/>
    <w:basedOn w:val="776"/>
    <w:uiPriority w:val="5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1">
    <w:name w:val="Subtitle"/>
    <w:basedOn w:val="765"/>
    <w:link w:val="952"/>
    <w:uiPriority w:val="11"/>
    <w:qFormat/>
    <w:pPr>
      <w:jc w:val="center"/>
      <w:spacing w:after="0" w:line="240" w:lineRule="auto"/>
    </w:pPr>
    <w:rPr>
      <w:rFonts w:ascii="Times New Roman" w:hAnsi="Times New Roman"/>
      <w:b/>
      <w:sz w:val="36"/>
      <w:szCs w:val="20"/>
    </w:rPr>
  </w:style>
  <w:style w:type="character" w:styleId="952" w:customStyle="1">
    <w:name w:val="Подзаголовок Знак"/>
    <w:basedOn w:val="775"/>
    <w:link w:val="951"/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paragraph" w:styleId="953">
    <w:name w:val="Body Text 2"/>
    <w:basedOn w:val="765"/>
    <w:link w:val="954"/>
    <w:pPr>
      <w:ind w:right="-1"/>
      <w:jc w:val="both"/>
      <w:spacing w:after="0" w:line="240" w:lineRule="auto"/>
    </w:pPr>
    <w:rPr>
      <w:rFonts w:ascii="Times New Roman" w:hAnsi="Times New Roman"/>
      <w:sz w:val="28"/>
      <w:szCs w:val="20"/>
    </w:rPr>
  </w:style>
  <w:style w:type="character" w:styleId="954" w:customStyle="1">
    <w:name w:val="Основной текст 2 Знак"/>
    <w:basedOn w:val="775"/>
    <w:link w:val="953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55">
    <w:name w:val="Body Text"/>
    <w:basedOn w:val="765"/>
    <w:link w:val="956"/>
    <w:uiPriority w:val="99"/>
    <w:semiHidden/>
    <w:unhideWhenUsed/>
    <w:pPr>
      <w:spacing w:after="120"/>
    </w:pPr>
  </w:style>
  <w:style w:type="character" w:styleId="956" w:customStyle="1">
    <w:name w:val="Основной текст Знак"/>
    <w:basedOn w:val="775"/>
    <w:link w:val="955"/>
    <w:uiPriority w:val="99"/>
    <w:semiHidden/>
    <w:rPr>
      <w:rFonts w:ascii="Calibri" w:hAnsi="Calibri" w:eastAsia="Times New Roman" w:cs="Times New Roman"/>
      <w:lang w:eastAsia="ru-RU"/>
    </w:rPr>
  </w:style>
  <w:style w:type="paragraph" w:styleId="957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958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59" w:customStyle="1">
    <w:name w:val="ConsPlusCell"/>
    <w:pPr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960">
    <w:name w:val="Header"/>
    <w:basedOn w:val="765"/>
    <w:link w:val="96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1" w:customStyle="1">
    <w:name w:val="Верхний колонтитул Знак"/>
    <w:basedOn w:val="775"/>
    <w:link w:val="960"/>
    <w:uiPriority w:val="99"/>
    <w:rPr>
      <w:rFonts w:ascii="Calibri" w:hAnsi="Calibri" w:eastAsia="Times New Roman" w:cs="Times New Roman"/>
      <w:lang w:eastAsia="ru-RU"/>
    </w:rPr>
  </w:style>
  <w:style w:type="paragraph" w:styleId="962">
    <w:name w:val="Footer"/>
    <w:basedOn w:val="765"/>
    <w:link w:val="96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3" w:customStyle="1">
    <w:name w:val="Нижний колонтитул Знак"/>
    <w:basedOn w:val="775"/>
    <w:link w:val="962"/>
    <w:uiPriority w:val="99"/>
    <w:rPr>
      <w:rFonts w:ascii="Calibri" w:hAnsi="Calibri" w:eastAsia="Times New Roman" w:cs="Times New Roman"/>
      <w:lang w:eastAsia="ru-RU"/>
    </w:rPr>
  </w:style>
  <w:style w:type="paragraph" w:styleId="964">
    <w:name w:val="Balloon Text"/>
    <w:basedOn w:val="765"/>
    <w:link w:val="96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65" w:customStyle="1">
    <w:name w:val="Текст выноски Знак"/>
    <w:basedOn w:val="775"/>
    <w:link w:val="964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66">
    <w:name w:val="Normal (Web)"/>
    <w:basedOn w:val="76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67">
    <w:name w:val="Hyperlink"/>
    <w:uiPriority w:val="99"/>
    <w:unhideWhenUsed/>
    <w:rPr>
      <w:color w:val="0000ff"/>
      <w:u w:val="single"/>
    </w:rPr>
  </w:style>
  <w:style w:type="character" w:styleId="968">
    <w:name w:val="annotation reference"/>
    <w:uiPriority w:val="99"/>
    <w:semiHidden/>
    <w:unhideWhenUsed/>
    <w:rPr>
      <w:sz w:val="16"/>
      <w:szCs w:val="16"/>
    </w:rPr>
  </w:style>
  <w:style w:type="paragraph" w:styleId="969">
    <w:name w:val="annotation text"/>
    <w:basedOn w:val="765"/>
    <w:link w:val="970"/>
    <w:uiPriority w:val="99"/>
    <w:semiHidden/>
    <w:unhideWhenUsed/>
    <w:rPr>
      <w:sz w:val="20"/>
      <w:szCs w:val="20"/>
    </w:rPr>
  </w:style>
  <w:style w:type="character" w:styleId="970" w:customStyle="1">
    <w:name w:val="Текст примечания Знак"/>
    <w:basedOn w:val="775"/>
    <w:link w:val="969"/>
    <w:uiPriority w:val="99"/>
    <w:semiHidden/>
    <w:rPr>
      <w:rFonts w:ascii="Calibri" w:hAnsi="Calibri" w:eastAsia="Times New Roman" w:cs="Times New Roman"/>
      <w:sz w:val="20"/>
      <w:szCs w:val="20"/>
      <w:lang w:eastAsia="ru-RU"/>
    </w:rPr>
  </w:style>
  <w:style w:type="paragraph" w:styleId="971">
    <w:name w:val="annotation subject"/>
    <w:basedOn w:val="969"/>
    <w:next w:val="969"/>
    <w:link w:val="972"/>
    <w:uiPriority w:val="99"/>
    <w:semiHidden/>
    <w:unhideWhenUsed/>
    <w:rPr>
      <w:b/>
      <w:bCs/>
    </w:rPr>
  </w:style>
  <w:style w:type="character" w:styleId="972" w:customStyle="1">
    <w:name w:val="Тема примечания Знак"/>
    <w:basedOn w:val="970"/>
    <w:link w:val="971"/>
    <w:uiPriority w:val="99"/>
    <w:semiHidden/>
    <w:rPr>
      <w:rFonts w:ascii="Calibri" w:hAnsi="Calibri" w:eastAsia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mailto:khakasia@ombudsmanbiz.ru" TargetMode="External"/><Relationship Id="rId12" Type="http://schemas.openxmlformats.org/officeDocument/2006/relationships/hyperlink" Target="mailto:tpp19@torgpalata.ru" TargetMode="External"/><Relationship Id="rId13" Type="http://schemas.openxmlformats.org/officeDocument/2006/relationships/hyperlink" Target="mailto:exptr9@inbox.ru" TargetMode="External"/><Relationship Id="rId14" Type="http://schemas.openxmlformats.org/officeDocument/2006/relationships/hyperlink" Target="mailto:info@oprh.ru" TargetMode="External"/><Relationship Id="rId15" Type="http://schemas.openxmlformats.org/officeDocument/2006/relationships/hyperlink" Target="mailto:pmkmangula@yandex.ru" TargetMode="External"/><Relationship Id="rId16" Type="http://schemas.openxmlformats.org/officeDocument/2006/relationships/hyperlink" Target="mailto:o.kuzmina@ski-gladenkaya.ru" TargetMode="External"/><Relationship Id="rId17" Type="http://schemas.openxmlformats.org/officeDocument/2006/relationships/hyperlink" Target="http://info@sayanmoloko.ru" TargetMode="External"/><Relationship Id="rId18" Type="http://schemas.openxmlformats.org/officeDocument/2006/relationships/hyperlink" Target="mailto:o.kuzmina@ski-gladenkaya.ru" TargetMode="External"/><Relationship Id="rId19" Type="http://schemas.openxmlformats.org/officeDocument/2006/relationships/hyperlink" Target="mailto:me14@r19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00763-02C8-4D43-8E2F-D9EC6849D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43</cp:revision>
  <dcterms:created xsi:type="dcterms:W3CDTF">2023-01-23T10:12:00Z</dcterms:created>
  <dcterms:modified xsi:type="dcterms:W3CDTF">2026-10-27T05:24:25Z</dcterms:modified>
</cp:coreProperties>
</file>